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jc w:val="center"/>
        <w:spacing w:after="0"/>
      </w:pPr>
      <w:r>
        <w:rPr>
          <w:b w:val="1"/>
          <w:bCs w:val="1"/>
        </w:rPr>
        <w:t xml:space="preserve">Протокол</w:t>
      </w:r>
    </w:p>
    <w:p>
      <w:pPr>
        <w:jc w:val="center"/>
        <w:spacing w:after="0"/>
      </w:pPr>
      <w:r>
        <w:rPr>
          <w:b w:val="1"/>
          <w:bCs w:val="1"/>
        </w:rPr>
        <w:t xml:space="preserve">рассмотрения вторых частей заявок на участие в процедуре</w:t>
      </w:r>
    </w:p>
    <w:p>
      <w:pPr>
        <w:jc w:val="center"/>
        <w:spacing w:after="0"/>
      </w:pPr>
      <w:r>
        <w:rPr>
          <w:b w:val="1"/>
          <w:bCs w:val="1"/>
        </w:rPr>
        <w:t xml:space="preserve">32514893290</w:t>
      </w:r>
    </w:p>
    <w:tbl>
      <w:tblGrid>
        <w:gridCol w:w="5000" w:type="dxa"/>
        <w:gridCol w:w="5000" w:type="dxa"/>
      </w:tblGrid>
      <w:tr>
        <w:trPr/>
        <w:tc>
          <w:tcPr>
            <w:tcW w:w="5000" w:type="dxa"/>
          </w:tcPr>
          <w:p>
            <w:pPr/>
            <w:r>
              <w:rPr/>
              <w:t xml:space="preserve"/>
            </w:r>
          </w:p>
        </w:tc>
        <w:tc>
          <w:tcPr>
            <w:tcW w:w="5000" w:type="dxa"/>
          </w:tcPr>
          <w:p>
            <w:pPr>
              <w:jc w:val="right"/>
            </w:pPr>
            <w:r>
              <w:rPr/>
              <w:t xml:space="preserve">«11» июня 2025г.</w:t>
            </w:r>
          </w:p>
        </w:tc>
      </w:tr>
    </w:tbl>
    <w:p>
      <w:pPr/>
      <w:r>
        <w:rPr>
          <w:b w:val="1"/>
          <w:bCs w:val="1"/>
        </w:rPr>
        <w:t xml:space="preserve">Организатором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  <w:br/>
      <w:r>
        <w:rPr>
          <w:b w:val="1"/>
          <w:bCs w:val="1"/>
        </w:rPr>
        <w:t xml:space="preserve">Заказчиком является: </w:t>
      </w:r>
      <w:r>
        <w:rPr>
          <w:b w:val="0"/>
          <w:bCs w:val="0"/>
        </w:rPr>
        <w:t xml:space="preserve">ОБЩЕСТВО С ОГРАНИЧЕННОЙ ОТВЕТСТВЕННОСТЬЮ "ТЕПЛО ЭНЕРГО СЕТИ"</w:t>
      </w:r>
    </w:p>
    <w:p/>
    <w:p>
      <w:pPr/>
      <w:r>
        <w:rPr>
          <w:b w:val="1"/>
          <w:bCs w:val="1"/>
        </w:rPr>
        <w:t xml:space="preserve">Способ закупки: </w:t>
      </w:r>
    </w:p>
    <w:p>
      <w:pPr>
        <w:spacing w:after="0"/>
      </w:pPr>
      <w:r>
        <w:rPr>
          <w:b w:val="0"/>
          <w:bCs w:val="0"/>
        </w:rPr>
        <w:t xml:space="preserve">Конкурс в электронной форме, участниками которого могут быть только субъекты малого и среднего предпринимательства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Наименование процедуры: </w:t>
      </w:r>
      <w:r>
        <w:rPr>
          <w:b w:val="0"/>
          <w:bCs w:val="0"/>
        </w:rPr>
        <w:t xml:space="preserve">Закупка стальных электросварных труб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Предмет договора лота: </w:t>
      </w:r>
      <w:r>
        <w:rPr>
          <w:b w:val="0"/>
          <w:bCs w:val="0"/>
        </w:rPr>
        <w:t xml:space="preserve">Закупка материалов на ремонт теплотрассы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Начальная (максимальная) цена договора, лота: </w:t>
      </w:r>
      <w:r>
        <w:rPr>
          <w:b w:val="0"/>
          <w:bCs w:val="0"/>
        </w:rPr>
        <w:t xml:space="preserve">2 420 409.00 (с учетом НДС) в валюте - Российский рубль</w:t>
      </w:r>
      <w:r>
        <w:rPr>
          <w:b w:val="0"/>
          <w:bCs w:val="0"/>
        </w:rPr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Рассмотрение документации и утверждение закупки путем проведения в период с 29.05.2025 по 11.06.2025 (завершение приема заявок 10.06.2025 в 12:00 (время московское)) способом закупки «Конкурс в электронной форме, участниками которого могут быть только субъекты малого и среднего предпринимательства» на Единой Электронной Торговой Площадке (ЕЭТП) https://corp.roseltorg.ru, Закупка материалов на ремонт теплотрассы.</w:t>
      </w:r>
      <w:br/>
      <w:br/>
      <w:r>
        <w:rPr>
          <w:b w:val="0"/>
          <w:bCs w:val="0"/>
        </w:rPr>
        <w:t xml:space="preserve">Процедура утверждения закупки проведена 29.05.2025 в 10:39 (московское время) по адресу: 369200, Г.. КАРАЧАЕВСК, УЛ. КУРДЖИЕВА, ЗД. 1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Извещение о проведении настоящей процедуры и документация были размещены «29» мая 2025г. на сайте АО «Единая электронная торговая площадка» (АО «ЕЭТП»), по адресу в сети «Интернет»: </w:t>
      </w:r>
      <w:hyperlink r:id="rId7" w:history="1">
        <w:r>
          <w:t xml:space="preserve">https://corp.roseltorg.ru</w:t>
        </w:r>
      </w:hyperlink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По окончании срока подачи заявок до «10» июня 2025г. было подано 6 заявок от участников. 0 заявок отозвано.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0"/>
          <w:bCs w:val="0"/>
        </w:rPr>
        <w:t xml:space="preserve">Срок исполнения договора: </w:t>
      </w:r>
      <w:r>
        <w:rPr>
          <w:b w:val="0"/>
          <w:bCs w:val="0"/>
        </w:rPr>
        <w:t xml:space="preserve">-</w:t>
      </w:r>
    </w:p>
    <w:p>
      <w:pPr>
        <w:keepLines w:val="1"/>
        <w:spacing w:after="96"/>
        <w:numPr>
          <w:ilvl w:val="0"/>
          <w:numId w:val="4"/>
        </w:numPr>
      </w:pPr>
      <w:r>
        <w:rPr>
          <w:b w:val="1"/>
          <w:bCs w:val="1"/>
        </w:rPr>
        <w:t xml:space="preserve">Сведения об объеме закупаемых товаров, работ, услуг:</w:t>
      </w:r>
    </w:p>
    <w:tbl>
      <w:tblGrid>
        <w:gridCol w:w="2300" w:type="dxa"/>
        <w:gridCol w:w="2100" w:type="dxa"/>
        <w:gridCol w:w="2000" w:type="dxa"/>
        <w:gridCol w:w="1800" w:type="dxa"/>
        <w:gridCol w:w="2000" w:type="dxa"/>
      </w:tblGrid>
      <w:tblPr>
        <w:tblStyle w:val="style78271"/>
      </w:tblP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ТРУ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Количество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Единица измерения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ОКПД2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Код ОКВЭД2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273x7.0 стальная, э/с, ГОСТ 10705- 80, Россия (12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12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219x6.0  стальная, э/с, ГОСТ 10705-80, Россия ( 350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350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159x6.0 стальная, э/с, ГОСТ 10705-80, Россия ( 380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380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114x4.5 стальная, э/с, ГОСТ 10705-80, Россия (60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60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102*4.5 стальная, э/с, ГОСТ 10705-80, Россия ( 350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350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89x4.0 стальная, э/с, ГОСТ 10705-80, Россия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250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57x3.5 стальная, э/с, ГОСТ 10705-80, Россия (110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110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  <w:tr>
        <w:trPr>
          <w:cantSplit w:val="1"/>
        </w:trPr>
        <w:tc>
          <w:tcPr>
            <w:tcW w:w="2300" w:type="dxa"/>
          </w:tcPr>
          <w:p>
            <w:pPr>
              <w:jc w:val="center"/>
            </w:pPr>
            <w:r>
              <w:rPr/>
              <w:t xml:space="preserve">Труба круглая 76x4.0 (9,5 м.) стальная, э/с, ГОСТ 10705-80, Россия (20 м)</w:t>
            </w:r>
          </w:p>
        </w:tc>
        <w:tc>
          <w:tcPr>
            <w:tcW w:w="2100" w:type="dxa"/>
          </w:tcPr>
          <w:p>
            <w:pPr>
              <w:jc w:val="center"/>
            </w:pPr>
            <w:r>
              <w:rPr/>
              <w:t xml:space="preserve">20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Погонный метр</w:t>
            </w:r>
          </w:p>
        </w:tc>
        <w:tc>
          <w:tcPr>
            <w:tcW w:w="1800" w:type="dxa"/>
          </w:tcPr>
          <w:p>
            <w:pPr>
              <w:jc w:val="center"/>
            </w:pPr>
            <w:r>
              <w:rPr/>
              <w:t xml:space="preserve">24.20.13.130</w:t>
            </w:r>
          </w:p>
        </w:tc>
        <w:tc>
          <w:tcPr>
            <w:tcW w:w="2000" w:type="dxa"/>
          </w:tcPr>
          <w:p>
            <w:pPr>
              <w:jc w:val="center"/>
            </w:pPr>
            <w:r>
              <w:rPr/>
              <w:t xml:space="preserve">24.20.2</w:t>
            </w:r>
          </w:p>
        </w:tc>
      </w:tr>
    </w:tbl>
    <w:p>
      <w:pPr>
        <w:keepLines w:val="1"/>
        <w:spacing w:after="96"/>
        <w:numPr>
          <w:ilvl w:val="0"/>
          <w:numId w:val="4"/>
        </w:numPr>
      </w:pPr>
      <w:r>
        <w:rPr/>
        <w:t xml:space="preserve">Участниками была предоставлена следующая документация для проведения процедуры:</w:t>
      </w:r>
    </w:p>
    <w:p>
      <w:pPr/>
      <w:r>
        <w:rPr>
          <w:b w:val="1"/>
          <w:bCs w:val="1"/>
        </w:rPr>
        <w:t xml:space="preserve">Заявка №3835502568</w:t>
      </w:r>
    </w:p>
    <w:tbl>
      <w:tblGrid>
        <w:gridCol w:w="5000" w:type="dxa"/>
        <w:gridCol w:w="5000" w:type="dxa"/>
      </w:tblGrid>
      <w:tblPr>
        <w:tblStyle w:val="style18209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Приложение_2_Информация об участнике_стр.3-5.PDF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ИНН стр.22.PDF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ОГРН стр. 23.PDF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Учредительные документы стр. 6-21.PDF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Решение об одобрении крупной сделки.pdf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Приложение_2_Информация об участнике_стр.3-5.PDF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Карта партнера ЮЭСК.docx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Выписка ЕГРЮЛ.pdf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/>
      <w:r>
        <w:rPr>
          <w:b w:val="1"/>
          <w:bCs w:val="1"/>
        </w:rPr>
        <w:t xml:space="preserve">Заявка №2568254289</w:t>
      </w:r>
    </w:p>
    <w:tbl>
      <w:tblGrid>
        <w:gridCol w:w="5000" w:type="dxa"/>
        <w:gridCol w:w="5000" w:type="dxa"/>
      </w:tblGrid>
      <w:tblPr>
        <w:tblStyle w:val="style27967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Приложение № 2 информация об участнике.pdf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Attachments_av@logika.online_2025-01-09_11-18-45.zip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Выписка МСП 09.01.2025.pdf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/>
      <w:r>
        <w:rPr>
          <w:b w:val="1"/>
          <w:bCs w:val="1"/>
        </w:rPr>
        <w:t xml:space="preserve">Заявка №4284308306</w:t>
      </w:r>
    </w:p>
    <w:tbl>
      <w:tblGrid>
        <w:gridCol w:w="5000" w:type="dxa"/>
        <w:gridCol w:w="5000" w:type="dxa"/>
      </w:tblGrid>
      <w:tblPr>
        <w:tblStyle w:val="style54507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сведения ЕГРЮЛ.pdf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декларация соответствия.pdf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информация об участнике 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Уставные документы.pdf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Доверенность Бабина СХ до 31.12.2026.pdf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Документы подтв.качество товара.pdf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сведения МСП.pdf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/>
      <w:r>
        <w:rPr>
          <w:b w:val="1"/>
          <w:bCs w:val="1"/>
        </w:rPr>
        <w:t xml:space="preserve">Заявка №637622387</w:t>
      </w:r>
    </w:p>
    <w:tbl>
      <w:tblGrid>
        <w:gridCol w:w="5000" w:type="dxa"/>
        <w:gridCol w:w="5000" w:type="dxa"/>
      </w:tblGrid>
      <w:tblPr>
        <w:tblStyle w:val="style80950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1. Информация об участнике закупки (1л).docx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1. Информация об участнике закупки (1л).pdf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2. Декларация соответствия участника (2л).pdf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3. СВЕДЕНИЯ из Единого реестра МСП (2л).pdf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4. Выписка (9л).pdf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5. Устав Авангард (12л).pdf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6. ОГРН_ИНН_КПП (1л).pdf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7. Лист записи ЕГРЮЛ (5л).pdf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8. Решение 1 (полномочия) (1л).pdf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9. Уведомление о кодах ОК ТЭИ (2л).pdf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10. Решение 2 об одобрении крупной сделки (1л).pdf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11. Справка об исполнении налог. обяз на 29.05.2025.pdf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12. спецсчет 40702810638030024991 (1л).pdf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13. Декларация страны происхождения Товара (1л).pdf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14. ИСО 9001 Авангард.pdf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15. Информационное письмо о применении ЭДО (1л).pdf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16. Письмо о применяемой системе налогообложения.pdf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17. Отраслевая аналитика Половниковой А.Н (1л)..pdf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17. Декларация соответствия участника (2л).pdf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7. СВЕДЕНИЯ из Единого реестра МСП (2л).pdf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2. Декларация соответствия участника (2л).pdf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/>
      <w:r>
        <w:rPr>
          <w:b w:val="1"/>
          <w:bCs w:val="1"/>
        </w:rPr>
        <w:t xml:space="preserve">Заявка №62724493</w:t>
      </w:r>
    </w:p>
    <w:tbl>
      <w:tblGrid>
        <w:gridCol w:w="5000" w:type="dxa"/>
        <w:gridCol w:w="5000" w:type="dxa"/>
      </w:tblGrid>
      <w:tblPr>
        <w:tblStyle w:val="style63337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Форма. Заявка на участие+.docx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Форма. Информация об участнике+.docx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444.zip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5555.zip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пппп.zip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Сертификаты.zip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Сертификаты3.zip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Сертификатые5.zip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Сертификатыппп.zip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Страна происхождения 223.docx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rmsp_2345005109_1022304446801_20250609_123055.pdf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ul-1022304446801-20250609123106.pdf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Декларация РНП 44 и 223.docx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Декларация_СМП.doc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инн.jpg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огрн.jpg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Прик.на директ.jpg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Реквизиты - ООО Фирма С.В (Организация).docx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Решение 2 о продлен. полномочий.PDF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Решение крупной сделки (1).jpg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устав.rar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rmsp_2345005109_1022304446801_20250609_123055.pdf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Форма. Информация об участнике+.docx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/>
      <w:r>
        <w:rPr>
          <w:b w:val="1"/>
          <w:bCs w:val="1"/>
        </w:rPr>
        <w:t xml:space="preserve">Заявка №1548444943</w:t>
      </w:r>
    </w:p>
    <w:tbl>
      <w:tblGrid>
        <w:gridCol w:w="5000" w:type="dxa"/>
        <w:gridCol w:w="5000" w:type="dxa"/>
      </w:tblGrid>
      <w:tblPr>
        <w:tblStyle w:val="style51789"/>
      </w:tblPr>
      <w:tr>
        <w:trPr>
          <w:cantSplit w:val="1"/>
        </w:trPr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Наименование документа</w:t>
            </w:r>
          </w:p>
        </w:tc>
        <w:tc>
          <w:tcPr>
            <w:tcW w:w="5000" w:type="dxa"/>
          </w:tcPr>
          <w:p>
            <w:pPr/>
            <w:r>
              <w:rPr>
                <w:b w:val="1"/>
                <w:bCs w:val="1"/>
              </w:rPr>
              <w:t xml:space="preserve">Наличие документа у участника</w:t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6 ндфл 4 кв МКМ_.pdf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IU_SPISOB_6164137100616101001_6164137100_6193_20230322_aa41980e-72d2-4acf-b61b-66ab8e231286_.pdf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Баланс 2023.pdf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Баланс 2024_с Прот.pdf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Баланс МКМ 2022.pdf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Бухгалтерская документация.zip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Договор склад.PDF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Документ1 (1).pdf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Документ1.pdf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Документ2 (1).pdf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Документ2.pdf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Лист записи 1.pdf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Лист записи 2.pdf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Меткоммаш аренда офиса.pdf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НДС 4кв23_Кор1.pdf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НДС МКМ 4 кв 2022.pdf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Паспорт 1.jpg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Паспорт 2.jpg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ПАСПОРТ.docx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Прибыль МКМ 4 кв 2022 г.pdf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Приказ МКМ на директора.PDF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Реквизиты МКМ.doc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Решение МКМ 1 о создании и назначении директора.PDF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Решение о сделке.PDF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Решение о смене юр адреса.pdf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Свидетельство о присвоении КПП по Нагибина.PDF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Свидетельство о регистрации синяя печать.PDF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СНИЛС.jpg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Справка ЗАДОЛЖЕНОСТЬ.pdf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Справка1.pdf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Справка2.pdf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СреднесписЧисл.pdf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Универсальная.zip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Устав МКМ с синей печатью.PDF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Штатное расписание.pdf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PRN203_021559 (1).pdf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Приложение № 1  Форма конкурсной заявки.docx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Приложение № 2 информация об участнике.docx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Сертификаты.pdf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rmsp_6164137100_1226100003502_20250523_134138.pdf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  <w:tr>
        <w:trPr>
          <w:cantSplit w:val="1"/>
        </w:trPr>
        <w:tc>
          <w:tcPr>
            <w:tcW w:w="5000" w:type="dxa"/>
          </w:tcPr>
          <w:p>
            <w:pPr/>
            <w:r>
              <w:rPr/>
              <w:t xml:space="preserve">Декларация СМП.doc</w:t>
            </w:r>
          </w:p>
        </w:tc>
        <w:tc>
          <w:tcPr>
            <w:tcW w:w="5000" w:type="dxa"/>
          </w:tcPr>
          <w:p>
            <w:pPr/>
            <w:r>
              <w:rPr/>
              <w:t xml:space="preserve"/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Комиссия рассмотрела заявки участников процедуры на соответствие требованиям, установленным документацией, и приняла следующее решение:</w:t>
      </w:r>
    </w:p>
    <w:tbl>
      <w:tblGrid>
        <w:gridCol w:w="1414.2857142857142" w:type="dxa"/>
        <w:gridCol w:w="4214.285714285715" w:type="dxa"/>
        <w:gridCol w:w="1514.2857142857142" w:type="dxa"/>
        <w:gridCol w:w="1614.2857142857142" w:type="dxa"/>
        <w:gridCol w:w="1614.2857142857142" w:type="dxa"/>
        <w:gridCol w:w="1714.2857142857142" w:type="dxa"/>
        <w:gridCol w:w="3214.285714285714" w:type="dxa"/>
      </w:tblGrid>
      <w:tblPr>
        <w:tblStyle w:val="style86320"/>
      </w:tblPr>
      <w:tr>
        <w:trPr>
          <w:cantSplit w:val="1"/>
        </w:trPr>
        <w:tc>
          <w:tcPr>
            <w:tcW w:w="1414.2857142857142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Порядковый номер заявки</w:t>
            </w:r>
          </w:p>
        </w:tc>
        <w:tc>
          <w:tcPr>
            <w:tcW w:w="4214.285714285715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Наименование участника</w:t>
            </w:r>
          </w:p>
        </w:tc>
        <w:tc>
          <w:tcPr>
            <w:tcW w:w="1514.2857142857142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Дата и время регистрации заявок (МСК)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с НДС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Ценовое предложение без НДС</w:t>
            </w:r>
          </w:p>
        </w:tc>
        <w:tc>
          <w:tcPr>
            <w:tcW w:w="1714.2857142857142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Решение о допуске заявки</w:t>
            </w:r>
          </w:p>
        </w:tc>
        <w:tc>
          <w:tcPr>
            <w:tcW w:w="3214.285714285714" w:type="dxa"/>
          </w:tcPr>
          <w:p>
            <w:pPr>
              <w:jc w:val="center"/>
            </w:pPr>
            <w:r>
              <w:rPr>
                <w:b w:val="1"/>
                <w:bCs w:val="1"/>
              </w:rPr>
              <w:t xml:space="preserve">Основание для решения</w:t>
            </w:r>
          </w:p>
        </w:tc>
      </w:tr>
      <w:tr>
        <w:trPr>
          <w:cantSplit w:val="1"/>
        </w:trPr>
        <w:tc>
          <w:tcPr>
            <w:tcW w:w="1414.2857142857142" w:type="dxa"/>
          </w:tcPr>
          <w:p>
            <w:pPr>
              <w:jc w:val="center"/>
            </w:pPr>
            <w:r>
              <w:rPr/>
              <w:t xml:space="preserve">3835502568</w:t>
            </w:r>
          </w:p>
        </w:tc>
        <w:tc>
          <w:tcPr>
            <w:tcW w:w="4214.285714285715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"ЮЖНАЯ ЭНЕРГОСТРОИТЕЛЬНАЯ КОМПАНИЯ", 355040, СТАВРОПОЛЬСКИЙ КРАЙ, Г СТАВРОПОЛЬ, УЛ ТУХАЧЕВСКОГО, Д. 15, КВ. 65, ИНН 2635827284, КПП 263501001, ОГРН 1142651003219</w:t>
            </w:r>
          </w:p>
        </w:tc>
        <w:tc>
          <w:tcPr>
            <w:tcW w:w="1514.2857142857142" w:type="dxa"/>
          </w:tcPr>
          <w:p>
            <w:pPr>
              <w:jc w:val="center"/>
            </w:pPr>
            <w:r>
              <w:rPr/>
              <w:t xml:space="preserve">02.06.2025 17:39:08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2420323.27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2016936.06</w:t>
            </w:r>
          </w:p>
        </w:tc>
        <w:tc>
          <w:tcPr>
            <w:tcW w:w="1714.2857142857142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3214.285714285714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414.2857142857142" w:type="dxa"/>
          </w:tcPr>
          <w:p>
            <w:pPr>
              <w:jc w:val="center"/>
            </w:pPr>
            <w:r>
              <w:rPr/>
              <w:t xml:space="preserve">2568254289</w:t>
            </w:r>
          </w:p>
        </w:tc>
        <w:tc>
          <w:tcPr>
            <w:tcW w:w="4214.285714285715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"ЖЕЛЕЗНАЯ ЛОГИКА", 620100, СВЕРДЛОВСКАЯ ОБЛАСТЬ, г.о. ГОРОД ЕКАТЕРИНБУРГ, Г ЕКАТЕРИНБУРГ, УЛ ТКАЧЕЙ, СТР. 23, ОФИС 1201, ИНН 6679076593, КПП 668501001, ОГРН 1156658055113</w:t>
            </w:r>
          </w:p>
        </w:tc>
        <w:tc>
          <w:tcPr>
            <w:tcW w:w="1514.2857142857142" w:type="dxa"/>
          </w:tcPr>
          <w:p>
            <w:pPr>
              <w:jc w:val="center"/>
            </w:pPr>
            <w:r>
              <w:rPr/>
              <w:t xml:space="preserve">09.06.2025 09:18:24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2259358.77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1882798.98</w:t>
            </w:r>
          </w:p>
        </w:tc>
        <w:tc>
          <w:tcPr>
            <w:tcW w:w="1714.2857142857142" w:type="dxa"/>
          </w:tcPr>
          <w:p>
            <w:pPr>
              <w:jc w:val="center"/>
            </w:pPr>
            <w:r>
              <w:rPr/>
              <w:t xml:space="preserve">Не допущена</w:t>
            </w:r>
          </w:p>
        </w:tc>
        <w:tc>
          <w:tcPr>
            <w:tcW w:w="3214.285714285714" w:type="dxa"/>
          </w:tcPr>
          <w:p>
            <w:pPr>
              <w:jc w:val="center"/>
            </w:pPr>
            <w:r>
              <w:rPr/>
              <w:t xml:space="preserve">Несоответствие заявки по составу, содержанию и оформлению</w:t>
            </w:r>
          </w:p>
          <w:p>
            <w:pPr>
              <w:jc w:val="center"/>
            </w:pPr>
            <w:r>
              <w:rPr/>
              <w:t xml:space="preserve"> (Основание для решения: Неполный комплект документов (не заполнен 1ч.))</w:t>
            </w:r>
          </w:p>
        </w:tc>
      </w:tr>
      <w:tr>
        <w:trPr>
          <w:cantSplit w:val="1"/>
        </w:trPr>
        <w:tc>
          <w:tcPr>
            <w:tcW w:w="1414.2857142857142" w:type="dxa"/>
          </w:tcPr>
          <w:p>
            <w:pPr>
              <w:jc w:val="center"/>
            </w:pPr>
            <w:r>
              <w:rPr/>
              <w:t xml:space="preserve">4284308306</w:t>
            </w:r>
          </w:p>
        </w:tc>
        <w:tc>
          <w:tcPr>
            <w:tcW w:w="4214.285714285715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"САЙВЕРХОТ", 623391, СВЕРДЛОВСКАЯ ОБЛАСТЬ, Г ПОЛЕВСКОЙ, Р-Н ВОСТОЧНЫЙ ПРОМЫШЛЕННЫЙ, ЗД. 6/3, ИНН 6679040340, КПП 667901001, ОГРН 1136679015648</w:t>
            </w:r>
          </w:p>
        </w:tc>
        <w:tc>
          <w:tcPr>
            <w:tcW w:w="1514.2857142857142" w:type="dxa"/>
          </w:tcPr>
          <w:p>
            <w:pPr>
              <w:jc w:val="center"/>
            </w:pPr>
            <w:r>
              <w:rPr/>
              <w:t xml:space="preserve">09.06.2025 13:57:18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2299198.00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1915998.33</w:t>
            </w:r>
          </w:p>
        </w:tc>
        <w:tc>
          <w:tcPr>
            <w:tcW w:w="1714.2857142857142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3214.285714285714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414.2857142857142" w:type="dxa"/>
          </w:tcPr>
          <w:p>
            <w:pPr>
              <w:jc w:val="center"/>
            </w:pPr>
            <w:r>
              <w:rPr/>
              <w:t xml:space="preserve">637622387</w:t>
            </w:r>
          </w:p>
        </w:tc>
        <w:tc>
          <w:tcPr>
            <w:tcW w:w="4214.285714285715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"АВАНГАРД", 620000, Свердловская область, Г ЕКАТЕРИНБУРГ, УЛ БОРИСА ЕЛЬЦИНА, СТР. 3, ОФИС 801, ИНН 6658539836, КПП 665801001, ОГРН 1206600067520</w:t>
            </w:r>
          </w:p>
        </w:tc>
        <w:tc>
          <w:tcPr>
            <w:tcW w:w="1514.2857142857142" w:type="dxa"/>
          </w:tcPr>
          <w:p>
            <w:pPr>
              <w:jc w:val="center"/>
            </w:pPr>
            <w:r>
              <w:rPr/>
              <w:t xml:space="preserve">09.06.2025 19:08:26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2240000.00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1866666.67</w:t>
            </w:r>
          </w:p>
        </w:tc>
        <w:tc>
          <w:tcPr>
            <w:tcW w:w="1714.2857142857142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3214.285714285714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414.2857142857142" w:type="dxa"/>
          </w:tcPr>
          <w:p>
            <w:pPr>
              <w:jc w:val="center"/>
            </w:pPr>
            <w:r>
              <w:rPr/>
              <w:t xml:space="preserve">62724493</w:t>
            </w:r>
          </w:p>
        </w:tc>
        <w:tc>
          <w:tcPr>
            <w:tcW w:w="4214.285714285715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"ФИРМА С.В.", 352254, КРАСНОДАРСКИЙ КРАЙ, Р-Н ОТРАДНЕНСКИЙ, Х. САДОВЫЙ, УЛ. НОВАЯ, Д.47, ИНН 2345005109, КПП 234501001, ОГРН 1022304446801</w:t>
            </w:r>
          </w:p>
        </w:tc>
        <w:tc>
          <w:tcPr>
            <w:tcW w:w="1514.2857142857142" w:type="dxa"/>
          </w:tcPr>
          <w:p>
            <w:pPr>
              <w:jc w:val="center"/>
            </w:pPr>
            <w:r>
              <w:rPr/>
              <w:t xml:space="preserve">09.06.2025 18:10:20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2225800.00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1854833.33</w:t>
            </w:r>
          </w:p>
        </w:tc>
        <w:tc>
          <w:tcPr>
            <w:tcW w:w="1714.2857142857142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3214.285714285714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  <w:tr>
        <w:trPr>
          <w:cantSplit w:val="1"/>
        </w:trPr>
        <w:tc>
          <w:tcPr>
            <w:tcW w:w="1414.2857142857142" w:type="dxa"/>
          </w:tcPr>
          <w:p>
            <w:pPr>
              <w:jc w:val="center"/>
            </w:pPr>
            <w:r>
              <w:rPr/>
              <w:t xml:space="preserve">1548444943</w:t>
            </w:r>
          </w:p>
        </w:tc>
        <w:tc>
          <w:tcPr>
            <w:tcW w:w="4214.285714285715" w:type="dxa"/>
          </w:tcPr>
          <w:p>
            <w:pPr>
              <w:jc w:val="center"/>
            </w:pPr>
            <w:r>
              <w:rPr/>
              <w:t xml:space="preserve">ОБЩЕСТВО С ОГРАНИЧЕННОЙ ОТВЕТСТВЕННОСТЬЮ "МЕТКОММАШ", 344038, РОСТОВСКАЯ ОБЛАСТЬ, г.о. ГОРОД РОСТОВ-НА-ДОНУ, Г РОСТОВ-НА-ДОНУ, ПР-КТ МИХАИЛА НАГИБИНА, ЗД. 14А, ОФИС 636, ИНН 6164137100, КПП 616101001, ОГРН 1226100003502</w:t>
            </w:r>
          </w:p>
        </w:tc>
        <w:tc>
          <w:tcPr>
            <w:tcW w:w="1514.2857142857142" w:type="dxa"/>
          </w:tcPr>
          <w:p>
            <w:pPr>
              <w:jc w:val="center"/>
            </w:pPr>
            <w:r>
              <w:rPr/>
              <w:t xml:space="preserve">10.06.2025 10:19:13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2104300.00</w:t>
            </w:r>
          </w:p>
        </w:tc>
        <w:tc>
          <w:tcPr>
            <w:tcW w:w="1614.2857142857142" w:type="dxa"/>
          </w:tcPr>
          <w:p>
            <w:pPr>
              <w:jc w:val="center"/>
            </w:pPr>
            <w:r>
              <w:rPr/>
              <w:t xml:space="preserve">1753583.33</w:t>
            </w:r>
          </w:p>
        </w:tc>
        <w:tc>
          <w:tcPr>
            <w:tcW w:w="1714.2857142857142" w:type="dxa"/>
          </w:tcPr>
          <w:p>
            <w:pPr>
              <w:jc w:val="center"/>
            </w:pPr>
            <w:r>
              <w:rPr/>
              <w:t xml:space="preserve">Допущена</w:t>
            </w:r>
          </w:p>
        </w:tc>
        <w:tc>
          <w:tcPr>
            <w:tcW w:w="3214.285714285714" w:type="dxa"/>
          </w:tcPr>
          <w:p>
            <w:pPr>
              <w:jc w:val="center"/>
            </w:pPr>
            <w:r>
              <w:rPr/>
              <w:t xml:space="preserve">Состав документов заявителя соответствует требованиям</w:t>
            </w:r>
          </w:p>
        </w:tc>
      </w:tr>
    </w:tbl>
    <w:p>
      <w:pPr>
        <w:spacing w:line="120" w:lineRule="auto"/>
      </w:pPr>
      <w:r>
        <w:rPr/>
        <w:t xml:space="preserve"/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комиссии: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Сведения о решении членов комиссии по каждой заявке: Без комиссии</w:t>
      </w:r>
    </w:p>
    <w:p>
      <w:pPr>
        <w:keepLines w:val="1"/>
        <w:spacing w:after="96"/>
        <w:numPr>
          <w:ilvl w:val="0"/>
          <w:numId w:val="4"/>
        </w:numPr>
      </w:pPr>
      <w:r>
        <w:rPr/>
        <w:t xml:space="preserve">Протокол рассмотрения вторых частей заявок на участие в процедуре будет размещен на сайте Единой информационной системы в сфере закупок (ЕИС) по адресу в сети «Интернет»: http://zakupki.gov.ru и на сайте АО «Единая электронная торговая площадка» (АО «ЕЭТП») по адресу в сети «Интернет»: </w:t>
      </w:r>
      <w:hyperlink r:id="rId7" w:history="1">
        <w:r>
          <w:t xml:space="preserve">https://corp.roseltorg.ru</w:t>
        </w:r>
      </w:hyperlink>
      <w:r>
        <w:rPr/>
        <w:t xml:space="preserve"> в сроки, предусмотренные №223-ФЗ и действующим Положением о закупках.</w:t>
      </w:r>
      <w:r>
        <w:rPr/>
        <w:t xml:space="preserve"/>
      </w:r>
    </w:p>
    <w:sectPr>
      <w:footerReference w:type="default" r:id="rId8"/>
      <w:pgSz w:orient="portrait" w:w="11905.511811023622" w:h="16837.79527559055"/>
      <w:pgMar w:top="1440" w:right="566.9291338582676" w:bottom="1440" w:left="1417.3228346456694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Grid>
      <w:gridCol w:w="8503.937007874016" w:type="dxa"/>
      <w:gridCol w:w="1417.3228346456694" w:type="dxa"/>
    </w:tblGrid>
    <w:tblPr>
      <w:tblW w:w="0" w:type="auto"/>
      <w:tblLayout w:type="autofit"/>
      <w:bidiVisual w:val="0"/>
      <w:tblCellMar>
        <w:top w:w="0" w:type="dxa"/>
        <w:left w:w="0" w:type="dxa"/>
        <w:right w:w="0" w:type="dxa"/>
        <w:bottom w:w="0" w:type="dxa"/>
      </w:tblCellMar>
      <w:tblBorders>
        <w:top w:val="single" w:sz="2" w:color="555555"/>
      </w:tblBorders>
    </w:tblPr>
    <w:tr>
      <w:trPr/>
      <w:tc>
        <w:tcPr>
          <w:tcW w:w="8503.937007874016" w:type="dxa"/>
        </w:tcPr>
        <w:p>
          <w:pPr>
            <w:jc w:val="left"/>
          </w:pPr>
          <w:r>
            <w:rPr/>
            <w:t xml:space="preserve">Протокол рассмотрения вторых частей заявок на участие в процедуре №32514893290 от 11.06.2025г.</w:t>
          </w:r>
        </w:p>
      </w:tc>
      <w:tc>
        <w:tcPr>
          <w:tcW w:w="1417.3228346456694" w:type="dxa"/>
        </w:tcPr>
        <w:p>
          <w:pPr>
            <w:jc w:val="right"/>
          </w:pPr>
          <w:r>
            <w:t xml:space="preserve">стр. </w:t>
          </w:r>
          <w:r>
            <w:fldChar w:fldCharType="begin"/>
          </w:r>
          <w:r>
            <w:instrText xml:space="preserve">PAGE</w:instrText>
          </w:r>
          <w:r>
            <w:fldChar w:fldCharType="separate"/>
          </w:r>
          <w:r>
            <w:fldChar w:fldCharType="end"/>
          </w:r>
          <w:r>
            <w:t xml:space="preserve"> из </w:t>
          </w:r>
          <w:r>
            <w:fldChar w:fldCharType="begin"/>
          </w:r>
          <w:r>
            <w:instrText xml:space="preserve">NUMPAGES</w:instrText>
          </w:r>
          <w:r>
            <w:fldChar w:fldCharType="separate"/>
          </w:r>
          <w:r>
            <w:fldChar w:fldCharType="end"/>
          </w:r>
        </w:p>
      </w:tc>
    </w:tr>
  </w:tbl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nsid w:val="0E60D877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E4534217"/>
    <w:multiLevelType w:val="multilevel"/>
    <w:lvl w:ilvl="0">
      <w:start w:val="1"/>
      <w:numFmt w:val="decimal"/>
      <w:suff w:val="tab"/>
      <w:lvlText w:val="%1."/>
      <w:lvlJc w:val="left"/>
      <w:pPr>
        <w:tabs>
          <w:tab w:val="num" w:pos="360"/>
        </w:tabs>
        <w:ind w:left="360" w:hanging="360"/>
      </w:pPr>
      <w:rPr>
        <w:rFonts w:ascii="" w:hAnsi="" w:cs=""/>
      </w:rPr>
    </w:lvl>
    <w:lvl w:ilvl="1">
      <w:start w:val="1"/>
      <w:numFmt w:val="decimal"/>
      <w:suff w:val="tab"/>
      <w:lvlText w:val="%1.%2."/>
      <w:lvlJc w:val="left"/>
      <w:pPr>
        <w:tabs>
          <w:tab w:val="num" w:pos="792"/>
        </w:tabs>
        <w:ind w:left="792" w:hanging="432"/>
      </w:pPr>
      <w:rPr>
        <w:rFonts w:ascii="" w:hAnsi="" w:cs=""/>
      </w:rPr>
    </w:lvl>
    <w:lvl w:ilvl="2">
      <w:start w:val="1"/>
      <w:numFmt w:val="decimal"/>
      <w:suff w:val="tab"/>
      <w:lvlText w:val="%1.%2.%3."/>
      <w:lvlJc w:val="left"/>
      <w:pPr>
        <w:tabs>
          <w:tab w:val="num" w:pos="1224"/>
        </w:tabs>
        <w:ind w:left="1224" w:hanging="504"/>
      </w:pPr>
      <w:rPr>
        <w:rFonts w:ascii="" w:hAnsi="" w:cs=""/>
      </w:rPr>
    </w:lvl>
    <w:lvl w:ilvl="3">
      <w:start w:val="1"/>
      <w:numFmt w:val="decimal"/>
      <w:suff w:val="tab"/>
      <w:lvlText w:val="%1.%2.%3.%4."/>
      <w:lvlJc w:val="left"/>
      <w:pPr>
        <w:tabs>
          <w:tab w:val="num" w:pos="1800"/>
        </w:tabs>
        <w:ind w:left="1728" w:hanging="648"/>
      </w:pPr>
      <w:rPr>
        <w:rFonts w:ascii="" w:hAnsi="" w:cs=""/>
      </w:rPr>
    </w:lvl>
    <w:lvl w:ilvl="4">
      <w:start w:val="1"/>
      <w:numFmt w:val="decimal"/>
      <w:suff w:val="tab"/>
      <w:lvlText w:val="%1.%2.%3.%4.%5."/>
      <w:lvlJc w:val="left"/>
      <w:pPr>
        <w:tabs>
          <w:tab w:val="num" w:pos="2520"/>
        </w:tabs>
        <w:ind w:left="2232" w:hanging="792"/>
      </w:pPr>
      <w:rPr>
        <w:rFonts w:ascii="" w:hAnsi="" w:cs=""/>
      </w:rPr>
    </w:lvl>
    <w:lvl w:ilvl="5">
      <w:start w:val="1"/>
      <w:numFmt w:val="decimal"/>
      <w:suff w:val="tab"/>
      <w:lvlText w:val="%1.%2.%3.%4.%5.%6."/>
      <w:lvlJc w:val="left"/>
      <w:pPr>
        <w:tabs>
          <w:tab w:val="num" w:pos="2880"/>
        </w:tabs>
        <w:ind w:left="2736" w:hanging="936"/>
      </w:pPr>
      <w:rPr>
        <w:rFonts w:ascii="" w:hAnsi="" w:cs=""/>
      </w:rPr>
    </w:lvl>
    <w:lvl w:ilvl="6">
      <w:start w:val="1"/>
      <w:numFmt w:val="decimal"/>
      <w:suff w:val="tab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" w:hAnsi="" w:cs=""/>
      </w:rPr>
    </w:lvl>
    <w:lvl w:ilvl="7">
      <w:start w:val="1"/>
      <w:numFmt w:val="decimal"/>
      <w:suff w:val="tab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" w:hAnsi="" w:cs=""/>
      </w:rPr>
    </w:lvl>
    <w:lvl w:ilvl="8">
      <w:start w:val="1"/>
      <w:numFmt w:val="decimal"/>
      <w:suff w:val="tab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" w:hAnsi="" w:cs=""/>
      </w:rPr>
    </w:lvl>
  </w:abstractNum>
  <w:num w:numId="3">
    <w:abstractNumId w:val="3"/>
  </w:num>
  <w:num w:numId="4">
    <w:abstractNumId w:val="4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ru-ru" w:eastAsia="x-none" w:bidi="x-none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hAnsi="Times New Roman" w:eastAsia="Times New Roman" w:cs="Times New Roman"/>
        <w:sz w:val="24"/>
        <w:szCs w:val="24"/>
        <w:lang w:val="ru-ru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character">
    <w:name w:val="myOwnStyle"/>
    <w:rPr>
      <w:b w:val="1"/>
      <w:bCs w:val="1"/>
    </w:rPr>
  </w:style>
  <w:style w:type="paragraph" w:customStyle="1" w:styleId="P-Style">
    <w:name w:val="P-Style"/>
    <w:basedOn w:val="Normal"/>
    <w:pPr>
      <w:keepLines w:val="1"/>
      <w:spacing w:after="96"/>
    </w:pPr>
  </w:style>
  <w:style w:type="table" w:customStyle="1" w:styleId="style78271">
    <w:name w:val="style78271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18209">
    <w:name w:val="style18209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27967">
    <w:name w:val="style27967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54507">
    <w:name w:val="style54507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80950">
    <w:name w:val="style80950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63337">
    <w:name w:val="style63337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51789">
    <w:name w:val="style51789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  <w:style w:type="table" w:customStyle="1" w:styleId="style86320">
    <w:name w:val="style86320"/>
    <w:uiPriority w:val="99"/>
    <w:tblPr>
      <w:tblW w:w="0" w:type="auto"/>
      <w:tblLayout w:type="autofit"/>
      <w:bidiVisual w:val="0"/>
      <w:tblBorders>
        <w:top w:val="single" w:sz="1" w:color="000000"/>
        <w:left w:val="single" w:sz="1" w:color="000000"/>
        <w:right w:val="single" w:sz="1" w:color="000000"/>
        <w:bottom w:val="single" w:sz="1" w:color="000000"/>
        <w:insideH w:val="single" w:sz="1" w:color="000000"/>
        <w:insideV w:val="single" w:sz="1" w:color="000000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https://corp.roseltorg.ru" TargetMode="Externa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2025-06-11T09:17:57+03:00</dcterms:created>
  <dcterms:modified xsi:type="dcterms:W3CDTF">2025-06-11T09:17:57+03:00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