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after="0"/>
      </w:pPr>
      <w:r>
        <w:rPr>
          <w:b w:val="1"/>
          <w:bCs w:val="1"/>
        </w:rPr>
        <w:t xml:space="preserve">Протокол</w:t>
      </w:r>
    </w:p>
    <w:p>
      <w:pPr>
        <w:jc w:val="center"/>
        <w:spacing w:after="0"/>
      </w:pPr>
      <w:r>
        <w:rPr>
          <w:b w:val="1"/>
          <w:bCs w:val="1"/>
        </w:rPr>
        <w:t xml:space="preserve">рассмотрения вторых частей заявок на участие в процедуре</w:t>
      </w:r>
    </w:p>
    <w:p>
      <w:pPr>
        <w:jc w:val="center"/>
        <w:spacing w:after="0"/>
      </w:pPr>
      <w:r>
        <w:rPr>
          <w:b w:val="1"/>
          <w:bCs w:val="1"/>
        </w:rPr>
        <w:t xml:space="preserve">32413614413</w:t>
      </w:r>
    </w:p>
    <w:tbl>
      <w:tblGrid>
        <w:gridCol w:w="5000" w:type="dxa"/>
        <w:gridCol w:w="5000" w:type="dxa"/>
      </w:tblGrid>
      <w:tr>
        <w:trPr/>
        <w:tc>
          <w:tcPr>
            <w:tcW w:w="5000" w:type="dxa"/>
          </w:tcPr>
          <w:p>
            <w:pPr/>
            <w:r>
              <w:rPr/>
              <w:t xml:space="preserve"/>
            </w:r>
          </w:p>
        </w:tc>
        <w:tc>
          <w:tcPr>
            <w:tcW w:w="5000" w:type="dxa"/>
          </w:tcPr>
          <w:p>
            <w:pPr>
              <w:jc w:val="right"/>
            </w:pPr>
            <w:r>
              <w:rPr/>
              <w:t xml:space="preserve">«31» мая 2024г.</w:t>
            </w:r>
          </w:p>
        </w:tc>
      </w:tr>
    </w:tbl>
    <w:p>
      <w:pPr/>
      <w:r>
        <w:rPr>
          <w:b w:val="1"/>
          <w:bCs w:val="1"/>
        </w:rPr>
        <w:t xml:space="preserve">Организатором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  <w:br/>
      <w:r>
        <w:rPr>
          <w:b w:val="1"/>
          <w:bCs w:val="1"/>
        </w:rPr>
        <w:t xml:space="preserve">Заказчиком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</w:p>
    <w:p/>
    <w:p>
      <w:pPr/>
      <w:r>
        <w:rPr>
          <w:b w:val="1"/>
          <w:bCs w:val="1"/>
        </w:rPr>
        <w:t xml:space="preserve">Способ закупки: </w:t>
      </w:r>
    </w:p>
    <w:p>
      <w:pPr>
        <w:spacing w:after="0"/>
      </w:pPr>
      <w:r>
        <w:rPr>
          <w:b w:val="0"/>
          <w:bCs w:val="0"/>
        </w:rPr>
        <w:t xml:space="preserve">Конкурс в электронной форме, участниками которого могут быть только субъекты малого и среднего предпринимательства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Наименование процедуры: </w:t>
      </w:r>
      <w:r>
        <w:rPr>
          <w:b w:val="0"/>
          <w:bCs w:val="0"/>
        </w:rPr>
        <w:t xml:space="preserve">Корректоры объема газа ЕК 270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Предмет договора лота: </w:t>
      </w:r>
      <w:r>
        <w:rPr>
          <w:b w:val="0"/>
          <w:bCs w:val="0"/>
        </w:rPr>
        <w:t xml:space="preserve">Корректор объема газа ЕК 270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Начальная (максимальная) цена договора, лота: </w:t>
      </w:r>
      <w:r>
        <w:rPr>
          <w:b w:val="0"/>
          <w:bCs w:val="0"/>
        </w:rPr>
        <w:t xml:space="preserve">1 383 298.00 (с учетом НДС) в валюте - Российский рубль</w:t>
      </w:r>
      <w:r>
        <w:rPr>
          <w:b w:val="0"/>
          <w:bCs w:val="0"/>
        </w:rPr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Рассмотрение документации и утверждение закупки путем проведения в период с 20.05.2024 по 31.05.2024 (завершение приема заявок 28.05.2024 в 09:00 (время московское)) способом закупки «Конкурс в электронной форме, участниками которого могут быть только субъекты малого и среднего предпринимательства» на Единой Электронной Торговой Площадке (ЕЭТП) https://corp.roseltorg.ru, Корректор объема газа ЕК 270.</w:t>
      </w:r>
      <w:br/>
      <w:br/>
      <w:r>
        <w:rPr>
          <w:b w:val="0"/>
          <w:bCs w:val="0"/>
        </w:rPr>
        <w:t xml:space="preserve">Процедура утверждения закупки проведена 20.05.2024 в 15:21 (московское время) по адресу: 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Извещение о проведении настоящей процедуры и документация были размещены «20» мая 2024г. на сайте АО «Единая электронная торговая площадка» (АО «ЕЭТП»), по адресу в сети «Интернет»: </w:t>
      </w:r>
      <w:hyperlink r:id="rId7" w:history="1">
        <w:r>
          <w:t xml:space="preserve">https://corp.roseltorg.ru</w:t>
        </w:r>
      </w:hyperlink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По окончании срока подачи заявок до «28» мая 2024г. было подано 1 заявка от участников. 0 заявок отозвано.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Срок исполнения договора: </w:t>
      </w:r>
      <w:r>
        <w:rPr>
          <w:b w:val="0"/>
          <w:bCs w:val="0"/>
        </w:rPr>
        <w:t xml:space="preserve">-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Сведения об объеме закупаемых товаров, работ, услуг:</w:t>
      </w:r>
    </w:p>
    <w:tbl>
      <w:tblGrid>
        <w:gridCol w:w="2000" w:type="dxa"/>
        <w:gridCol w:w="1800" w:type="dxa"/>
        <w:gridCol w:w="1700" w:type="dxa"/>
        <w:gridCol w:w="1500" w:type="dxa"/>
        <w:gridCol w:w="1700" w:type="dxa"/>
        <w:gridCol w:w="1700" w:type="dxa"/>
      </w:tblGrid>
      <w:tblPr>
        <w:tblStyle w:val="style82819"/>
      </w:tblPr>
      <w:tr>
        <w:trPr>
          <w:cantSplit w:val="1"/>
        </w:trPr>
        <w:tc>
          <w:tcPr>
            <w:tcW w:w="2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ТРУ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Количество</w:t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Единица измерения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Цена ТРУ</w:t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ОКПД2</w:t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ОКВЭД2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center"/>
            </w:pPr>
            <w:r>
              <w:rPr/>
              <w:t xml:space="preserve">Корректор объема газа ЕК270 2,0 (кмч, ППД 6,3 кПа) 2 изделия</w:t>
            </w:r>
          </w:p>
          <w:p>
            <w:pPr>
              <w:jc w:val="center"/>
            </w:pPr>
            <w:r>
              <w:rPr/>
              <w:t xml:space="preserve">Корректор объема газа ЕК270 0,5 (кмч, ППД 1,6 кПа) 1 изделие</w:t>
            </w:r>
          </w:p>
          <w:p>
            <w:pPr>
              <w:jc w:val="center"/>
            </w:pPr>
            <w:r>
              <w:rPr/>
              <w:t xml:space="preserve">Корректор объема газа ЕК270 0,5 (кмч, ППД 2,5 кПа) 1 изделие</w:t>
            </w:r>
          </w:p>
          <w:p>
            <w:pPr>
              <w:jc w:val="center"/>
            </w:pPr>
            <w:r>
              <w:rPr/>
              <w:t xml:space="preserve">Корректор объема газа ЕК270 0,75 (кмч, ППД 2,5 кПа) 1 изделие</w:t>
            </w:r>
          </w:p>
          <w:p>
            <w:pPr>
              <w:jc w:val="center"/>
            </w:pPr>
            <w:r>
              <w:rPr/>
              <w:t xml:space="preserve"/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/>
              <w:t xml:space="preserve">Изделие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/>
              <w:t xml:space="preserve"/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/>
              <w:t xml:space="preserve">26.51.52.110</w:t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/>
              <w:t xml:space="preserve">35</w:t>
            </w:r>
          </w:p>
        </w:tc>
      </w:tr>
    </w:tbl>
    <w:p>
      <w:pPr>
        <w:keepLines w:val="1"/>
        <w:spacing w:after="96"/>
        <w:numPr>
          <w:ilvl w:val="0"/>
          <w:numId w:val="4"/>
        </w:numPr>
      </w:pPr>
      <w:r>
        <w:rPr/>
        <w:t xml:space="preserve">Участниками была предоставлена следующая документация для проведения процедуры:</w:t>
      </w:r>
    </w:p>
    <w:p>
      <w:pPr/>
      <w:r>
        <w:rPr>
          <w:b w:val="1"/>
          <w:bCs w:val="1"/>
        </w:rPr>
        <w:t xml:space="preserve">Заявка №1581384489</w:t>
      </w:r>
    </w:p>
    <w:tbl>
      <w:tblGrid>
        <w:gridCol w:w="5000" w:type="dxa"/>
        <w:gridCol w:w="5000" w:type="dxa"/>
      </w:tblGrid>
      <w:tblPr>
        <w:tblStyle w:val="style5777"/>
      </w:tblPr>
      <w:tr>
        <w:trPr>
          <w:cantSplit w:val="1"/>
        </w:trPr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Наименование документа</w:t>
            </w:r>
          </w:p>
        </w:tc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Наличие документа у участника</w:t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ul-1162651065675-20240527161517.pdf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Анкета.doc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1 часть -.doc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Декларация.doc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ИНН ген.дир..pdf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ИНН.pdf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ОГРН.pdf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приказ и решение.pdf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Решение об одобрении или о совершении крупной сделки.pdf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Справка об отсутствии в реестре недобросовестных поставщиков.pdf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УСТАВ.pdf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rmsp_2635220796_1162651065675_20240527_161537.pdf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Комиссия рассмотрела заявки участников процедуры на соответствие требованиям, установленным документацией, и приняла следующее решение:</w:t>
      </w:r>
    </w:p>
    <w:tbl>
      <w:tblGrid>
        <w:gridCol w:w="1200" w:type="dxa"/>
        <w:gridCol w:w="4000" w:type="dxa"/>
        <w:gridCol w:w="1300" w:type="dxa"/>
        <w:gridCol w:w="1400" w:type="dxa"/>
        <w:gridCol w:w="1400" w:type="dxa"/>
        <w:gridCol w:w="1500" w:type="dxa"/>
        <w:gridCol w:w="3000" w:type="dxa"/>
      </w:tblGrid>
      <w:tblPr>
        <w:tblStyle w:val="style60335"/>
      </w:tblPr>
      <w:tr>
        <w:trPr>
          <w:cantSplit w:val="1"/>
        </w:trPr>
        <w:tc>
          <w:tcPr>
            <w:tcW w:w="12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</w:t>
            </w:r>
          </w:p>
        </w:tc>
        <w:tc>
          <w:tcPr>
            <w:tcW w:w="4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участника</w:t>
            </w:r>
          </w:p>
        </w:tc>
        <w:tc>
          <w:tcPr>
            <w:tcW w:w="13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регистрации заявок (МСК)</w:t>
            </w:r>
          </w:p>
        </w:tc>
        <w:tc>
          <w:tcPr>
            <w:tcW w:w="14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с НДС</w:t>
            </w:r>
          </w:p>
        </w:tc>
        <w:tc>
          <w:tcPr>
            <w:tcW w:w="14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без НДС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допуске заявки</w:t>
            </w:r>
          </w:p>
        </w:tc>
        <w:tc>
          <w:tcPr>
            <w:tcW w:w="3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Основание для решения</w:t>
            </w:r>
          </w:p>
        </w:tc>
      </w:tr>
      <w:tr>
        <w:trPr>
          <w:cantSplit w:val="1"/>
        </w:trPr>
        <w:tc>
          <w:tcPr>
            <w:tcW w:w="1200" w:type="dxa"/>
          </w:tcPr>
          <w:p>
            <w:pPr>
              <w:jc w:val="center"/>
            </w:pPr>
            <w:r>
              <w:rPr/>
              <w:t xml:space="preserve">1581384489</w:t>
            </w:r>
          </w:p>
        </w:tc>
        <w:tc>
          <w:tcPr>
            <w:tcW w:w="4000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"ЛЮМИКС-СТ", 355035, СТАВРОПОЛЬСКИЙ КРАЙ, Г СТАВРОПОЛЬ, ПР-КТ КУЛАКОВА, Д. 13, ОФИС 4, ИНН 2635220796, КПП 263501001, ОГРН 1162651065675</w:t>
            </w:r>
          </w:p>
        </w:tc>
        <w:tc>
          <w:tcPr>
            <w:tcW w:w="1300" w:type="dxa"/>
          </w:tcPr>
          <w:p>
            <w:pPr>
              <w:jc w:val="center"/>
            </w:pPr>
            <w:r>
              <w:rPr/>
              <w:t xml:space="preserve">27.05.2024 16:28:57</w:t>
            </w:r>
          </w:p>
        </w:tc>
        <w:tc>
          <w:tcPr>
            <w:tcW w:w="1400" w:type="dxa"/>
          </w:tcPr>
          <w:p>
            <w:pPr>
              <w:jc w:val="center"/>
            </w:pPr>
            <w:r>
              <w:rPr/>
              <w:t xml:space="preserve">1247400.00</w:t>
            </w:r>
          </w:p>
        </w:tc>
        <w:tc>
          <w:tcPr>
            <w:tcW w:w="1400" w:type="dxa"/>
          </w:tcPr>
          <w:p>
            <w:pPr>
              <w:jc w:val="center"/>
            </w:pPr>
            <w:r>
              <w:rPr/>
              <w:t xml:space="preserve">1039500.00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3000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комиссии: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решении членов комиссии по каждой заявке: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Протокол рассмотрения вторых частей заявок на участие в процедуре будет размещен на сайте Единой информационной системы в сфере закупок (ЕИС) по адресу в сети «Интернет»: http://zakupki.gov.ru и на сайте АО «Единая электронная торговая площадка» (АО «ЕЭТП») по адресу в сети «Интернет»: </w:t>
      </w:r>
      <w:hyperlink r:id="rId7" w:history="1">
        <w:r>
          <w:t xml:space="preserve">https://corp.roseltorg.ru</w:t>
        </w:r>
      </w:hyperlink>
      <w:r>
        <w:rPr/>
        <w:t xml:space="preserve"> в сроки, предусмотренные №223-ФЗ и действующим Положением о закупках.</w:t>
      </w:r>
      <w:r>
        <w:rPr/>
        <w:t xml:space="preserve"/>
      </w:r>
    </w:p>
    <w:sectPr>
      <w:footerReference w:type="default" r:id="rId8"/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8503.937007874016" w:type="dxa"/>
      <w:gridCol w:w="1417.3228346456694" w:type="dxa"/>
    </w:tblGrid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2" w:color="555555"/>
      </w:tblBorders>
    </w:tblPr>
    <w:tr>
      <w:trPr/>
      <w:tc>
        <w:tcPr>
          <w:tcW w:w="8503.937007874016" w:type="dxa"/>
        </w:tcPr>
        <w:p>
          <w:pPr>
            <w:jc w:val="left"/>
          </w:pPr>
          <w:r>
            <w:rPr/>
            <w:t xml:space="preserve">Протокол рассмотрения вторых частей заявок на участие в процедуре №32413614413 от 31.05.2024г.</w:t>
          </w:r>
        </w:p>
      </w:tc>
      <w:tc>
        <w:tcPr>
          <w:tcW w:w="1417.3228346456694" w:type="dxa"/>
        </w:tcPr>
        <w:p>
          <w:pPr>
            <w:jc w:val="right"/>
          </w:pPr>
          <w:r>
            <w:t xml:space="preserve">стр. 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nsid w:val="6DBCDBD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66C916E"/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</w:tabs>
        <w:ind w:left="360" w:hanging="360"/>
      </w:pPr>
      <w:rPr>
        <w:rFonts w:ascii="" w:hAnsi="" w:cs=""/>
      </w:rPr>
    </w:lvl>
    <w:lvl w:ilvl="1">
      <w:start w:val="1"/>
      <w:numFmt w:val="decimal"/>
      <w:suff w:val="tab"/>
      <w:lvlText w:val="%1.%2."/>
      <w:lvlJc w:val="left"/>
      <w:pPr>
        <w:tabs>
          <w:tab w:val="num" w:pos="792"/>
        </w:tabs>
        <w:ind w:left="792" w:hanging="432"/>
      </w:pPr>
      <w:rPr>
        <w:rFonts w:ascii="" w:hAnsi="" w:cs=""/>
      </w:rPr>
    </w:lvl>
    <w:lvl w:ilvl="2">
      <w:start w:val="1"/>
      <w:numFmt w:val="decimal"/>
      <w:suff w:val="tab"/>
      <w:lvlText w:val="%1.%2.%3."/>
      <w:lvlJc w:val="left"/>
      <w:pPr>
        <w:tabs>
          <w:tab w:val="num" w:pos="1224"/>
        </w:tabs>
        <w:ind w:left="1224" w:hanging="504"/>
      </w:pPr>
      <w:rPr>
        <w:rFonts w:ascii="" w:hAnsi="" w:cs=""/>
      </w:rPr>
    </w:lvl>
    <w:lvl w:ilvl="3">
      <w:start w:val="1"/>
      <w:numFmt w:val="decimal"/>
      <w:suff w:val="tab"/>
      <w:lvlText w:val="%1.%2.%3.%4."/>
      <w:lvlJc w:val="left"/>
      <w:pPr>
        <w:tabs>
          <w:tab w:val="num" w:pos="1800"/>
        </w:tabs>
        <w:ind w:left="1728" w:hanging="648"/>
      </w:pPr>
      <w:rPr>
        <w:rFonts w:ascii="" w:hAnsi="" w:cs=""/>
      </w:rPr>
    </w:lvl>
    <w:lvl w:ilvl="4">
      <w:start w:val="1"/>
      <w:numFmt w:val="decimal"/>
      <w:suff w:val="tab"/>
      <w:lvlText w:val="%1.%2.%3.%4.%5."/>
      <w:lvlJc w:val="left"/>
      <w:pPr>
        <w:tabs>
          <w:tab w:val="num" w:pos="2520"/>
        </w:tabs>
        <w:ind w:left="2232" w:hanging="792"/>
      </w:pPr>
      <w:rPr>
        <w:rFonts w:ascii="" w:hAnsi="" w:cs=""/>
      </w:rPr>
    </w:lvl>
    <w:lvl w:ilvl="5">
      <w:start w:val="1"/>
      <w:numFmt w:val="decimal"/>
      <w:suff w:val="tab"/>
      <w:lvlText w:val="%1.%2.%3.%4.%5.%6."/>
      <w:lvlJc w:val="left"/>
      <w:pPr>
        <w:tabs>
          <w:tab w:val="num" w:pos="2880"/>
        </w:tabs>
        <w:ind w:left="2736" w:hanging="936"/>
      </w:pPr>
      <w:rPr>
        <w:rFonts w:ascii="" w:hAnsi="" w:cs="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" w:hAnsi="" w:cs="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" w:hAnsi="" w:cs="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" w:hAnsi="" w:cs=""/>
      </w:rPr>
    </w:lvl>
  </w:abstractNum>
  <w:num w:numId="3">
    <w:abstractNumId w:val="3"/>
  </w: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4"/>
        <w:szCs w:val="24"/>
        <w:lang w:val="ru-ru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spacing w:after="96"/>
    </w:pPr>
  </w:style>
  <w:style w:type="table" w:customStyle="1" w:styleId="style82819">
    <w:name w:val="style82819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5777">
    <w:name w:val="style5777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60335">
    <w:name w:val="style60335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corp.roseltorg.ru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2024-05-31T08:45:35+03:00</dcterms:created>
  <dcterms:modified xsi:type="dcterms:W3CDTF">2024-05-31T08:45:35+03:00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